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3EC" w:rsidRDefault="00E124AB">
      <w:pPr>
        <w:spacing w:line="276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 к письму</w:t>
      </w:r>
    </w:p>
    <w:p w:rsidR="004B73EC" w:rsidRDefault="00E124AB">
      <w:pPr>
        <w:spacing w:line="276" w:lineRule="auto"/>
        <w:ind w:firstLine="709"/>
        <w:jc w:val="right"/>
        <w:rPr>
          <w:sz w:val="28"/>
          <w:szCs w:val="28"/>
        </w:rPr>
      </w:pPr>
      <w:r>
        <w:rPr>
          <w:sz w:val="24"/>
          <w:szCs w:val="24"/>
        </w:rPr>
        <w:t>от ________№_______</w:t>
      </w:r>
    </w:p>
    <w:p w:rsidR="004B73EC" w:rsidRDefault="004B73EC">
      <w:pPr>
        <w:spacing w:line="276" w:lineRule="auto"/>
        <w:ind w:firstLine="709"/>
        <w:jc w:val="right"/>
        <w:rPr>
          <w:sz w:val="28"/>
          <w:szCs w:val="28"/>
        </w:rPr>
      </w:pPr>
    </w:p>
    <w:p w:rsidR="00D054AC" w:rsidRDefault="00D054AC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4B73EC" w:rsidRDefault="00D054AC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E124AB">
        <w:rPr>
          <w:b/>
          <w:bCs/>
          <w:sz w:val="28"/>
          <w:szCs w:val="28"/>
        </w:rPr>
        <w:t>б итогах реализации национального проекта «Инфраструктура для жизни» на территории Ханты-Мансийского автономного округа – Югры за 2025 год</w:t>
      </w:r>
    </w:p>
    <w:p w:rsidR="004B73EC" w:rsidRDefault="004B73EC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4B73EC" w:rsidRDefault="00E124AB">
      <w:pPr>
        <w:pStyle w:val="af9"/>
        <w:shd w:val="clear" w:color="FFFFFF" w:fill="FFFFFF"/>
        <w:spacing w:line="276" w:lineRule="auto"/>
        <w:ind w:left="0" w:firstLine="720"/>
        <w:rPr>
          <w:sz w:val="28"/>
          <w:szCs w:val="28"/>
          <w:highlight w:val="white"/>
        </w:rPr>
      </w:pPr>
      <w:r>
        <w:rPr>
          <w:color w:val="000000"/>
          <w:sz w:val="28"/>
        </w:rPr>
        <w:t>В соответствии с Указом Президента</w:t>
      </w:r>
      <w:r w:rsidR="00D054AC">
        <w:rPr>
          <w:color w:val="000000"/>
          <w:sz w:val="28"/>
        </w:rPr>
        <w:t xml:space="preserve"> Российской Федерации </w:t>
      </w:r>
      <w:r w:rsidR="00D054AC">
        <w:rPr>
          <w:color w:val="000000"/>
          <w:sz w:val="28"/>
        </w:rPr>
        <w:br/>
        <w:t xml:space="preserve">от 21 июля </w:t>
      </w:r>
      <w:r>
        <w:rPr>
          <w:color w:val="000000"/>
          <w:sz w:val="28"/>
        </w:rPr>
        <w:t>2020</w:t>
      </w:r>
      <w:r w:rsidR="00D054AC">
        <w:rPr>
          <w:color w:val="000000"/>
          <w:sz w:val="28"/>
        </w:rPr>
        <w:t xml:space="preserve"> года</w:t>
      </w:r>
      <w:r>
        <w:rPr>
          <w:color w:val="000000"/>
          <w:sz w:val="28"/>
        </w:rPr>
        <w:t xml:space="preserve"> № 474</w:t>
      </w:r>
      <w:r>
        <w:rPr>
          <w:rStyle w:val="af3"/>
          <w:color w:val="000000"/>
          <w:sz w:val="28"/>
        </w:rPr>
        <w:footnoteReference w:id="1"/>
      </w:r>
      <w:r>
        <w:rPr>
          <w:color w:val="000000"/>
          <w:sz w:val="28"/>
        </w:rPr>
        <w:t xml:space="preserve"> в период 2019-2024 годов </w:t>
      </w:r>
      <w:r w:rsidR="00D054AC">
        <w:rPr>
          <w:color w:val="000000"/>
          <w:sz w:val="28"/>
        </w:rPr>
        <w:t xml:space="preserve">Ханты-Мансийский </w:t>
      </w:r>
      <w:r>
        <w:rPr>
          <w:color w:val="000000"/>
          <w:sz w:val="28"/>
        </w:rPr>
        <w:t>автономный округ</w:t>
      </w:r>
      <w:r w:rsidR="00D054AC">
        <w:rPr>
          <w:color w:val="000000"/>
          <w:sz w:val="28"/>
        </w:rPr>
        <w:t xml:space="preserve"> – Югра (далее автономный округ)</w:t>
      </w:r>
      <w:r>
        <w:rPr>
          <w:color w:val="000000"/>
          <w:sz w:val="28"/>
        </w:rPr>
        <w:t xml:space="preserve"> принимал участие в реализации национального проекта «Безопасные качественные дороги» в составе </w:t>
      </w:r>
      <w:r>
        <w:rPr>
          <w:color w:val="000000"/>
          <w:sz w:val="28"/>
          <w:szCs w:val="28"/>
        </w:rPr>
        <w:t>трех</w:t>
      </w:r>
      <w:r>
        <w:rPr>
          <w:color w:val="000000"/>
          <w:sz w:val="28"/>
          <w:szCs w:val="28"/>
          <w:highlight w:val="white"/>
        </w:rPr>
        <w:t xml:space="preserve"> федеральных/региональных проектов:</w:t>
      </w:r>
    </w:p>
    <w:p w:rsidR="004B73EC" w:rsidRDefault="00E124AB">
      <w:pPr>
        <w:pStyle w:val="af9"/>
        <w:shd w:val="clear" w:color="FFFFFF" w:fill="FFFFFF"/>
        <w:spacing w:line="276" w:lineRule="auto"/>
        <w:ind w:left="0" w:firstLine="720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highlight w:val="white"/>
        </w:rPr>
        <w:t>Региональная и местная дорожная сеть»;</w:t>
      </w:r>
    </w:p>
    <w:p w:rsidR="004B73EC" w:rsidRDefault="00E124AB">
      <w:pPr>
        <w:pStyle w:val="af9"/>
        <w:shd w:val="clear" w:color="FFFFFF" w:fill="FFFFFF"/>
        <w:spacing w:line="276" w:lineRule="auto"/>
        <w:ind w:left="0" w:firstLine="720"/>
        <w:rPr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highlight w:val="white"/>
        </w:rPr>
        <w:t>Общесистемные меры развития дорожного хозяйства»;</w:t>
      </w:r>
    </w:p>
    <w:p w:rsidR="004B73EC" w:rsidRDefault="00E124AB">
      <w:pPr>
        <w:pStyle w:val="af9"/>
        <w:shd w:val="clear" w:color="FFFFFF" w:fill="FFFFFF"/>
        <w:spacing w:line="276" w:lineRule="auto"/>
        <w:ind w:left="0" w:firstLine="720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highlight w:val="white"/>
        </w:rPr>
        <w:t xml:space="preserve">Безопасность дорожного движения» (далее </w:t>
      </w:r>
      <w:proofErr w:type="gramStart"/>
      <w:r>
        <w:rPr>
          <w:color w:val="000000"/>
          <w:sz w:val="28"/>
          <w:szCs w:val="28"/>
          <w:highlight w:val="white"/>
        </w:rPr>
        <w:t>вместе  –</w:t>
      </w:r>
      <w:proofErr w:type="gramEnd"/>
      <w:r>
        <w:rPr>
          <w:color w:val="000000"/>
          <w:sz w:val="28"/>
          <w:szCs w:val="28"/>
          <w:highlight w:val="white"/>
        </w:rPr>
        <w:t xml:space="preserve"> региональные проекты).</w:t>
      </w:r>
    </w:p>
    <w:p w:rsidR="004B73EC" w:rsidRDefault="00E124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</w:rPr>
        <w:t>Во исполнение Указа Президент</w:t>
      </w:r>
      <w:r w:rsidR="00D054AC">
        <w:rPr>
          <w:color w:val="000000"/>
          <w:sz w:val="28"/>
        </w:rPr>
        <w:t xml:space="preserve">а Российской Федерации от 07 мая </w:t>
      </w:r>
      <w:r>
        <w:rPr>
          <w:color w:val="000000"/>
          <w:sz w:val="28"/>
        </w:rPr>
        <w:t>2024</w:t>
      </w:r>
      <w:r w:rsidR="00D054AC">
        <w:rPr>
          <w:color w:val="000000"/>
          <w:sz w:val="28"/>
        </w:rPr>
        <w:t xml:space="preserve"> года</w:t>
      </w:r>
      <w:r>
        <w:rPr>
          <w:color w:val="000000"/>
          <w:sz w:val="28"/>
        </w:rPr>
        <w:t xml:space="preserve"> № 309</w:t>
      </w:r>
      <w:r>
        <w:rPr>
          <w:rStyle w:val="af3"/>
          <w:color w:val="000000"/>
          <w:sz w:val="28"/>
        </w:rPr>
        <w:footnoteReference w:id="2"/>
      </w:r>
      <w:r>
        <w:rPr>
          <w:color w:val="000000"/>
          <w:sz w:val="28"/>
        </w:rPr>
        <w:t xml:space="preserve"> (далее – Указ № 309), начиная с 2025 года, реализация региональных проектов продолжена в составе национального проекта «Инфраструктура для жизни» и направлена на достижение </w:t>
      </w:r>
      <w:r>
        <w:rPr>
          <w:sz w:val="28"/>
          <w:szCs w:val="28"/>
        </w:rPr>
        <w:t xml:space="preserve">установленной Указом № 309 национальной цели: «Комфортная и безопасная среда для жизни».   </w:t>
      </w:r>
    </w:p>
    <w:p w:rsidR="004B73EC" w:rsidRDefault="00E124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Региональные проекты реализуются на региональной сети дорог и улично-дорожной сети трех городских агломераций (Ханты-Мансийская, </w:t>
      </w:r>
      <w:proofErr w:type="spellStart"/>
      <w:r>
        <w:rPr>
          <w:color w:val="000000"/>
          <w:sz w:val="28"/>
        </w:rPr>
        <w:t>Сургутская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Нижневартовская</w:t>
      </w:r>
      <w:proofErr w:type="spellEnd"/>
      <w:r>
        <w:rPr>
          <w:color w:val="000000"/>
          <w:sz w:val="28"/>
        </w:rPr>
        <w:t>)</w:t>
      </w:r>
      <w:r>
        <w:rPr>
          <w:rFonts w:eastAsia="Calibri"/>
          <w:color w:val="000000"/>
          <w:sz w:val="28"/>
          <w:szCs w:val="28"/>
        </w:rPr>
        <w:t xml:space="preserve"> в соответствии с Программой дорожной деятельности автономного округа, согласованной Федеральным дорожным агентством</w:t>
      </w:r>
      <w:r w:rsidR="00D054AC">
        <w:rPr>
          <w:color w:val="000000"/>
          <w:sz w:val="28"/>
        </w:rPr>
        <w:t xml:space="preserve">.  </w:t>
      </w:r>
    </w:p>
    <w:p w:rsidR="004B73EC" w:rsidRDefault="00E124AB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2025 году в составе национального проекта работы завершены на 186,7 км, из них:</w:t>
      </w:r>
    </w:p>
    <w:p w:rsidR="004B73EC" w:rsidRDefault="00E124AB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строительство - 45,56 км</w:t>
      </w:r>
      <w:r w:rsidR="00D054AC">
        <w:rPr>
          <w:color w:val="000000" w:themeColor="text1"/>
          <w:sz w:val="28"/>
          <w:szCs w:val="28"/>
        </w:rPr>
        <w:t>;</w:t>
      </w:r>
      <w:r>
        <w:rPr>
          <w:color w:val="000000" w:themeColor="text1"/>
          <w:sz w:val="28"/>
          <w:szCs w:val="28"/>
        </w:rPr>
        <w:t xml:space="preserve"> </w:t>
      </w:r>
    </w:p>
    <w:p w:rsidR="004B73EC" w:rsidRDefault="00E124AB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реконструкция - 18,94 км</w:t>
      </w:r>
      <w:r w:rsidR="00D054AC">
        <w:rPr>
          <w:color w:val="000000" w:themeColor="text1"/>
          <w:sz w:val="28"/>
          <w:szCs w:val="28"/>
        </w:rPr>
        <w:t>;</w:t>
      </w:r>
      <w:r>
        <w:rPr>
          <w:color w:val="000000" w:themeColor="text1"/>
          <w:sz w:val="28"/>
          <w:szCs w:val="28"/>
        </w:rPr>
        <w:t xml:space="preserve"> </w:t>
      </w:r>
    </w:p>
    <w:p w:rsidR="004B73EC" w:rsidRDefault="00E124AB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>
        <w:rPr>
          <w:color w:val="000000" w:themeColor="text1"/>
          <w:sz w:val="28"/>
          <w:szCs w:val="28"/>
        </w:rPr>
        <w:t xml:space="preserve">капитальный ремонт и ремонт - 102,3 км, в том числе на региональной сети 92,9 км, на улично-дорожной сети </w:t>
      </w:r>
      <w:r>
        <w:rPr>
          <w:color w:val="000000" w:themeColor="text1"/>
          <w:sz w:val="28"/>
          <w:szCs w:val="28"/>
          <w:lang w:eastAsia="ar-SA"/>
        </w:rPr>
        <w:t>городских агломераций (</w:t>
      </w:r>
      <w:proofErr w:type="spellStart"/>
      <w:r>
        <w:rPr>
          <w:color w:val="000000" w:themeColor="text1"/>
          <w:sz w:val="28"/>
          <w:szCs w:val="28"/>
          <w:lang w:eastAsia="ar-SA"/>
        </w:rPr>
        <w:t>г.Сургут</w:t>
      </w:r>
      <w:proofErr w:type="spellEnd"/>
      <w:r>
        <w:rPr>
          <w:color w:val="000000" w:themeColor="text1"/>
          <w:sz w:val="28"/>
          <w:szCs w:val="28"/>
          <w:lang w:eastAsia="ar-SA"/>
        </w:rPr>
        <w:t>, г. Нижневартовск, г. Ханты-Мансийск) - 9,4 км;</w:t>
      </w:r>
    </w:p>
    <w:p w:rsidR="004B73EC" w:rsidRDefault="00E124AB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</w:rPr>
        <w:lastRenderedPageBreak/>
        <w:t>устройство слоев износа проезжей части на участках 19,9 км.</w:t>
      </w:r>
    </w:p>
    <w:p w:rsidR="004B73EC" w:rsidRDefault="00E124AB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>
        <w:rPr>
          <w:color w:val="000000" w:themeColor="text1"/>
          <w:sz w:val="28"/>
          <w:szCs w:val="28"/>
          <w:highlight w:val="white"/>
          <w:lang w:eastAsia="ar-SA"/>
        </w:rPr>
        <w:t>С учетом успешной реализации национального проекта в 2025 году значение показателя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</w:r>
      <w:r w:rsidR="00D054AC">
        <w:rPr>
          <w:color w:val="000000" w:themeColor="text1"/>
          <w:sz w:val="28"/>
          <w:szCs w:val="28"/>
          <w:highlight w:val="white"/>
          <w:lang w:eastAsia="ar-SA"/>
        </w:rPr>
        <w:t xml:space="preserve"> составило</w:t>
      </w:r>
      <w:r>
        <w:rPr>
          <w:color w:val="000000" w:themeColor="text1"/>
          <w:sz w:val="28"/>
          <w:szCs w:val="28"/>
          <w:highlight w:val="white"/>
          <w:lang w:eastAsia="ar-SA"/>
        </w:rPr>
        <w:t>:</w:t>
      </w:r>
    </w:p>
    <w:p w:rsidR="004B73EC" w:rsidRDefault="00E124AB">
      <w:pPr>
        <w:pStyle w:val="afa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нормативность региональной сети дорог по итогам года – 87,62% при плане – 83,82 %,</w:t>
      </w:r>
    </w:p>
    <w:p w:rsidR="004B73EC" w:rsidRDefault="00E124AB">
      <w:pPr>
        <w:pStyle w:val="afa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нормативность улично-дорожной сети городских агломераций (</w:t>
      </w:r>
      <w:proofErr w:type="spellStart"/>
      <w:r>
        <w:rPr>
          <w:sz w:val="28"/>
          <w:szCs w:val="28"/>
        </w:rPr>
        <w:t>Сургут</w:t>
      </w:r>
      <w:r w:rsidR="00D054AC">
        <w:rPr>
          <w:sz w:val="28"/>
          <w:szCs w:val="28"/>
        </w:rPr>
        <w:t>ская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Нижневартовск</w:t>
      </w:r>
      <w:r w:rsidR="00D054AC"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, Ханты-Мансийск</w:t>
      </w:r>
      <w:r w:rsidR="00D054AC">
        <w:rPr>
          <w:sz w:val="28"/>
          <w:szCs w:val="28"/>
        </w:rPr>
        <w:t>ая</w:t>
      </w:r>
      <w:r>
        <w:rPr>
          <w:sz w:val="28"/>
          <w:szCs w:val="28"/>
        </w:rPr>
        <w:t xml:space="preserve">) по итогам года – </w:t>
      </w:r>
      <w:r>
        <w:rPr>
          <w:bCs/>
          <w:sz w:val="28"/>
          <w:szCs w:val="28"/>
        </w:rPr>
        <w:t>86,5</w:t>
      </w:r>
      <w:r w:rsidR="00D054AC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% при плане – 85,62%</w:t>
      </w:r>
      <w:r>
        <w:rPr>
          <w:sz w:val="28"/>
          <w:szCs w:val="28"/>
        </w:rPr>
        <w:t>.</w:t>
      </w:r>
    </w:p>
    <w:p w:rsidR="004B73EC" w:rsidRDefault="00E124AB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В </w:t>
      </w:r>
      <w:r w:rsidR="00D054AC">
        <w:rPr>
          <w:sz w:val="28"/>
          <w:szCs w:val="28"/>
          <w:lang w:eastAsia="ru-RU"/>
        </w:rPr>
        <w:t xml:space="preserve">этой связи по итогам 2025 </w:t>
      </w:r>
      <w:proofErr w:type="gramStart"/>
      <w:r w:rsidR="00D054AC">
        <w:rPr>
          <w:sz w:val="28"/>
          <w:szCs w:val="28"/>
          <w:lang w:eastAsia="ru-RU"/>
        </w:rPr>
        <w:t xml:space="preserve">года </w:t>
      </w:r>
      <w:r>
        <w:rPr>
          <w:sz w:val="28"/>
          <w:szCs w:val="28"/>
          <w:lang w:eastAsia="ru-RU"/>
        </w:rPr>
        <w:t xml:space="preserve"> автономный</w:t>
      </w:r>
      <w:proofErr w:type="gramEnd"/>
      <w:r>
        <w:rPr>
          <w:sz w:val="28"/>
          <w:szCs w:val="28"/>
          <w:lang w:eastAsia="ru-RU"/>
        </w:rPr>
        <w:t xml:space="preserve"> округ </w:t>
      </w:r>
      <w:r>
        <w:rPr>
          <w:sz w:val="28"/>
          <w:szCs w:val="28"/>
        </w:rPr>
        <w:t>в тройке лидеров реализации дорожной части национального проекта в номинации «Качество».</w:t>
      </w:r>
    </w:p>
    <w:p w:rsidR="004B73EC" w:rsidRDefault="00E124AB">
      <w:pPr>
        <w:spacing w:line="276" w:lineRule="auto"/>
        <w:ind w:right="123" w:firstLine="720"/>
        <w:contextualSpacing/>
        <w:jc w:val="both"/>
        <w:rPr>
          <w:color w:val="000000" w:themeColor="text1"/>
          <w:sz w:val="28"/>
          <w:szCs w:val="28"/>
          <w:lang w:eastAsia="ar-SA"/>
        </w:rPr>
      </w:pPr>
      <w:r>
        <w:rPr>
          <w:color w:val="000000" w:themeColor="text1"/>
          <w:sz w:val="28"/>
          <w:szCs w:val="28"/>
          <w:highlight w:val="white"/>
          <w:lang w:eastAsia="ar-SA"/>
        </w:rPr>
        <w:t xml:space="preserve"> </w:t>
      </w:r>
      <w:r>
        <w:rPr>
          <w:sz w:val="28"/>
          <w:szCs w:val="28"/>
        </w:rPr>
        <w:t xml:space="preserve">В целях развития транспортной инфраструктуры в западной части автономного округа, повышения транспортной доступности арктических территорий Югры, формирования автодорожного транспортного коридора Север – Юг («Екатеринбург – </w:t>
      </w:r>
      <w:proofErr w:type="spellStart"/>
      <w:r>
        <w:rPr>
          <w:sz w:val="28"/>
          <w:szCs w:val="28"/>
        </w:rPr>
        <w:t>Урай</w:t>
      </w:r>
      <w:proofErr w:type="spellEnd"/>
      <w:r>
        <w:rPr>
          <w:sz w:val="28"/>
          <w:szCs w:val="28"/>
        </w:rPr>
        <w:t xml:space="preserve"> – Советский – </w:t>
      </w:r>
      <w:proofErr w:type="spellStart"/>
      <w:r>
        <w:rPr>
          <w:sz w:val="28"/>
          <w:szCs w:val="28"/>
        </w:rPr>
        <w:t>Нягань</w:t>
      </w:r>
      <w:proofErr w:type="spellEnd"/>
      <w:r>
        <w:rPr>
          <w:sz w:val="28"/>
          <w:szCs w:val="28"/>
        </w:rPr>
        <w:t xml:space="preserve"> – Надым») </w:t>
      </w:r>
      <w:proofErr w:type="gramStart"/>
      <w:r>
        <w:rPr>
          <w:sz w:val="28"/>
          <w:szCs w:val="28"/>
        </w:rPr>
        <w:t xml:space="preserve">в </w:t>
      </w:r>
      <w:r>
        <w:rPr>
          <w:color w:val="000000" w:themeColor="text1"/>
          <w:sz w:val="28"/>
          <w:szCs w:val="28"/>
          <w:lang w:eastAsia="ar-SA"/>
        </w:rPr>
        <w:t xml:space="preserve"> 2025</w:t>
      </w:r>
      <w:proofErr w:type="gramEnd"/>
      <w:r>
        <w:rPr>
          <w:color w:val="000000" w:themeColor="text1"/>
          <w:sz w:val="28"/>
          <w:szCs w:val="28"/>
          <w:lang w:eastAsia="ar-SA"/>
        </w:rPr>
        <w:t xml:space="preserve"> году начаты работы </w:t>
      </w:r>
      <w:r>
        <w:rPr>
          <w:sz w:val="28"/>
          <w:szCs w:val="28"/>
        </w:rPr>
        <w:t>по разработке (корректировке) проектной документации по строительству объектов:</w:t>
      </w:r>
    </w:p>
    <w:p w:rsidR="004B73EC" w:rsidRDefault="00E124AB">
      <w:pPr>
        <w:tabs>
          <w:tab w:val="left" w:pos="42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«Автомобильная дорога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Куминский</w:t>
      </w:r>
      <w:proofErr w:type="spellEnd"/>
      <w:r>
        <w:rPr>
          <w:sz w:val="28"/>
          <w:szCs w:val="28"/>
        </w:rPr>
        <w:t xml:space="preserve"> – граница Ханты-Мансийского автономного округа – Югры и Свердловской области»;</w:t>
      </w:r>
    </w:p>
    <w:p w:rsidR="004B73EC" w:rsidRDefault="00E124AB">
      <w:pPr>
        <w:spacing w:line="276" w:lineRule="auto"/>
        <w:ind w:right="123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«Мостовой переход через реку Обь в Октябрьском районе»;</w:t>
      </w:r>
    </w:p>
    <w:p w:rsidR="004B73EC" w:rsidRDefault="00E124AB">
      <w:pPr>
        <w:spacing w:line="276" w:lineRule="auto"/>
        <w:ind w:right="123" w:firstLine="709"/>
        <w:contextualSpacing/>
        <w:jc w:val="both"/>
        <w:rPr>
          <w:color w:val="000000" w:themeColor="text1"/>
          <w:sz w:val="28"/>
          <w:szCs w:val="28"/>
          <w:lang w:eastAsia="ar-SA"/>
        </w:rPr>
      </w:pPr>
      <w:r>
        <w:rPr>
          <w:sz w:val="28"/>
          <w:szCs w:val="28"/>
        </w:rPr>
        <w:t>«Автомобильная дорога г.</w:t>
      </w:r>
      <w:r w:rsidR="007A136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Югорск</w:t>
      </w:r>
      <w:proofErr w:type="spellEnd"/>
      <w:r>
        <w:rPr>
          <w:sz w:val="28"/>
          <w:szCs w:val="28"/>
        </w:rPr>
        <w:t xml:space="preserve"> – г. Советский – </w:t>
      </w:r>
      <w:r>
        <w:rPr>
          <w:sz w:val="28"/>
          <w:szCs w:val="28"/>
        </w:rPr>
        <w:br/>
        <w:t xml:space="preserve">п. </w:t>
      </w:r>
      <w:proofErr w:type="spellStart"/>
      <w:r>
        <w:rPr>
          <w:sz w:val="28"/>
          <w:szCs w:val="28"/>
        </w:rPr>
        <w:t>Верхнеказымский</w:t>
      </w:r>
      <w:proofErr w:type="spellEnd"/>
      <w:r>
        <w:rPr>
          <w:sz w:val="28"/>
          <w:szCs w:val="28"/>
        </w:rPr>
        <w:t>, участок км 475 (п. Сосновка) – граница Ханты-Мансийского автономного округа – Югры»</w:t>
      </w:r>
      <w:r>
        <w:t>.</w:t>
      </w:r>
    </w:p>
    <w:p w:rsidR="004B73EC" w:rsidRDefault="00E124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национального проекта особое внимание уделяется повышению безопасности дорожного движения, установке современных систем освещения и внедрению интеллектуальных транспортных технологий. </w:t>
      </w:r>
    </w:p>
    <w:p w:rsidR="004B73EC" w:rsidRDefault="00E124AB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sz w:val="28"/>
          <w:szCs w:val="28"/>
        </w:rPr>
        <w:t>По итогам реализации национального проекта по состоянию на 1 января 2026 года на автомобильных дорогах автономного округа</w:t>
      </w:r>
      <w:r>
        <w:rPr>
          <w:color w:val="000000" w:themeColor="text1"/>
          <w:sz w:val="28"/>
          <w:szCs w:val="28"/>
          <w:lang w:eastAsia="ar-SA"/>
        </w:rPr>
        <w:t xml:space="preserve"> </w:t>
      </w:r>
      <w:r>
        <w:rPr>
          <w:rFonts w:eastAsia="Calibri"/>
          <w:sz w:val="28"/>
          <w:szCs w:val="28"/>
        </w:rPr>
        <w:t xml:space="preserve">размещены 22 автоматических пунктов весогабаритного контроля транспортных средств, установлено 259 стационарных камер </w:t>
      </w:r>
      <w:proofErr w:type="spellStart"/>
      <w:r>
        <w:rPr>
          <w:rFonts w:eastAsia="Calibri"/>
          <w:sz w:val="28"/>
          <w:szCs w:val="28"/>
        </w:rPr>
        <w:t>фотовидеофиксации</w:t>
      </w:r>
      <w:proofErr w:type="spellEnd"/>
      <w:r>
        <w:rPr>
          <w:rFonts w:eastAsia="Calibri"/>
          <w:sz w:val="28"/>
          <w:szCs w:val="28"/>
        </w:rPr>
        <w:t xml:space="preserve"> нарушений правил дорожного движения. </w:t>
      </w:r>
    </w:p>
    <w:p w:rsidR="004B73EC" w:rsidRDefault="00E124AB">
      <w:pPr>
        <w:pStyle w:val="docdata"/>
        <w:spacing w:before="0" w:beforeAutospacing="0" w:after="0" w:afterAutospacing="0" w:line="276" w:lineRule="auto"/>
        <w:ind w:firstLine="720"/>
        <w:jc w:val="both"/>
      </w:pPr>
      <w:r>
        <w:rPr>
          <w:color w:val="000000"/>
          <w:sz w:val="28"/>
          <w:szCs w:val="28"/>
        </w:rPr>
        <w:t xml:space="preserve">Тенденция снижения основных показателей аварийности на территории автономного округа прослеживается на протяжении всего времени участия в национальном проекте. Так за 2025 год на территории автономного округа зарегистрировано 1190 ДТП, при которых 106 человек </w:t>
      </w:r>
      <w:r>
        <w:rPr>
          <w:color w:val="000000"/>
          <w:sz w:val="28"/>
          <w:szCs w:val="28"/>
        </w:rPr>
        <w:lastRenderedPageBreak/>
        <w:t>погибло и 1617 человек пострадало, снижение основных показателей аварийности составило 2,2 %, 10,2% и 4,8% соответственно.</w:t>
      </w:r>
    </w:p>
    <w:p w:rsidR="004B73EC" w:rsidRDefault="00E124AB">
      <w:pPr>
        <w:pStyle w:val="afa"/>
        <w:spacing w:before="0" w:beforeAutospacing="0" w:after="0" w:afterAutospacing="0" w:line="276" w:lineRule="auto"/>
        <w:ind w:firstLine="720"/>
        <w:jc w:val="both"/>
      </w:pPr>
      <w:r>
        <w:rPr>
          <w:color w:val="000000"/>
          <w:sz w:val="28"/>
          <w:szCs w:val="28"/>
        </w:rPr>
        <w:t>Кроме снижения основных показателей аварийности, удалось добиться сокращения числа дорожно-транспортных происшествий с участием пешеходов, по причине выезда на полосу дороги предназначенную для встречного движения, проезда на запрещающий сигнал светофора.</w:t>
      </w:r>
    </w:p>
    <w:p w:rsidR="004B73EC" w:rsidRDefault="00E124AB">
      <w:pPr>
        <w:pStyle w:val="afa"/>
        <w:spacing w:before="0" w:beforeAutospacing="0" w:after="0" w:afterAutospacing="0" w:line="276" w:lineRule="auto"/>
        <w:ind w:firstLine="720"/>
        <w:jc w:val="both"/>
      </w:pPr>
      <w:r>
        <w:rPr>
          <w:color w:val="000000"/>
          <w:sz w:val="28"/>
          <w:szCs w:val="28"/>
        </w:rPr>
        <w:t xml:space="preserve">Необходимо отметить, что помимо повсеместного приведения дорог в нормативное состояние и выполнения целого комплекса мероприятий по обустройству транспортной инфраструктуры округа, немаловажную роль в достижении целей играет применение современных «высоких технологий»: </w:t>
      </w:r>
    </w:p>
    <w:p w:rsidR="004B73EC" w:rsidRDefault="00E124AB">
      <w:pPr>
        <w:pStyle w:val="afa"/>
        <w:spacing w:before="0" w:beforeAutospacing="0" w:after="0" w:afterAutospacing="0" w:line="276" w:lineRule="auto"/>
        <w:ind w:firstLine="720"/>
        <w:jc w:val="both"/>
      </w:pPr>
      <w:r>
        <w:rPr>
          <w:color w:val="000000"/>
          <w:sz w:val="28"/>
          <w:szCs w:val="28"/>
        </w:rPr>
        <w:t>установка комплексов автоматической фиксации нар</w:t>
      </w:r>
      <w:r w:rsidR="007A1361">
        <w:rPr>
          <w:color w:val="000000"/>
          <w:sz w:val="28"/>
          <w:szCs w:val="28"/>
        </w:rPr>
        <w:t>ушений правил дорожного движения</w:t>
      </w:r>
      <w:r>
        <w:rPr>
          <w:color w:val="000000"/>
          <w:sz w:val="28"/>
          <w:szCs w:val="28"/>
        </w:rPr>
        <w:t xml:space="preserve">; </w:t>
      </w:r>
    </w:p>
    <w:p w:rsidR="004B73EC" w:rsidRDefault="00E124AB">
      <w:pPr>
        <w:pStyle w:val="afa"/>
        <w:spacing w:before="0" w:beforeAutospacing="0" w:after="0" w:afterAutospacing="0" w:line="276" w:lineRule="auto"/>
        <w:ind w:firstLine="720"/>
        <w:jc w:val="both"/>
      </w:pPr>
      <w:r>
        <w:rPr>
          <w:color w:val="000000"/>
          <w:sz w:val="28"/>
          <w:szCs w:val="28"/>
        </w:rPr>
        <w:t>работа мобильных аппаратно-программных комплексов фиксации транспортных средств по государственным регистрационным знакам «</w:t>
      </w:r>
      <w:proofErr w:type="spellStart"/>
      <w:r>
        <w:rPr>
          <w:color w:val="000000"/>
          <w:sz w:val="28"/>
          <w:szCs w:val="28"/>
        </w:rPr>
        <w:t>АвтоУраган</w:t>
      </w:r>
      <w:proofErr w:type="spellEnd"/>
      <w:r>
        <w:rPr>
          <w:color w:val="000000"/>
          <w:sz w:val="28"/>
          <w:szCs w:val="28"/>
        </w:rPr>
        <w:t>-МС».</w:t>
      </w:r>
    </w:p>
    <w:p w:rsidR="004B73EC" w:rsidRDefault="00E124AB">
      <w:pPr>
        <w:pStyle w:val="afa"/>
        <w:widowControl w:val="0"/>
        <w:spacing w:before="0" w:beforeAutospacing="0" w:after="0" w:afterAutospacing="0" w:line="276" w:lineRule="auto"/>
        <w:ind w:firstLine="720"/>
        <w:jc w:val="both"/>
      </w:pPr>
      <w:r>
        <w:rPr>
          <w:color w:val="000000"/>
          <w:sz w:val="28"/>
          <w:szCs w:val="28"/>
        </w:rPr>
        <w:t xml:space="preserve">В 2025 году приобретено дополнительно 11 комплексов </w:t>
      </w:r>
      <w:proofErr w:type="spellStart"/>
      <w:r>
        <w:rPr>
          <w:color w:val="000000"/>
          <w:sz w:val="28"/>
          <w:szCs w:val="28"/>
        </w:rPr>
        <w:t>фотовидеофиксации</w:t>
      </w:r>
      <w:proofErr w:type="spellEnd"/>
      <w:r>
        <w:rPr>
          <w:color w:val="000000"/>
          <w:sz w:val="28"/>
          <w:szCs w:val="28"/>
        </w:rPr>
        <w:t xml:space="preserve"> нарушений правил дорожного движения (далее – ФВФ), которые позволяют контролировать соблюдение правил дорожного движения и выявлять различные виды нарушений как в движении, так и локально на участке дороги.</w:t>
      </w:r>
    </w:p>
    <w:p w:rsidR="004B73EC" w:rsidRDefault="00E124AB">
      <w:pPr>
        <w:pStyle w:val="afa"/>
        <w:widowControl w:val="0"/>
        <w:spacing w:before="0" w:beforeAutospacing="0" w:after="0" w:afterAutospacing="0" w:line="276" w:lineRule="auto"/>
        <w:ind w:firstLine="720"/>
        <w:jc w:val="both"/>
      </w:pPr>
      <w:r>
        <w:rPr>
          <w:color w:val="000000"/>
          <w:sz w:val="28"/>
          <w:szCs w:val="28"/>
        </w:rPr>
        <w:t>Комплексы ФВФ приспособлены для использования как в стационарном, так и передвижном исполнении.</w:t>
      </w:r>
    </w:p>
    <w:p w:rsidR="004B73EC" w:rsidRDefault="00E124AB">
      <w:pPr>
        <w:pStyle w:val="afa"/>
        <w:widowControl w:val="0"/>
        <w:spacing w:before="0" w:beforeAutospacing="0" w:after="0" w:afterAutospacing="0" w:line="276" w:lineRule="auto"/>
        <w:ind w:firstLine="720"/>
        <w:jc w:val="both"/>
      </w:pPr>
      <w:r>
        <w:rPr>
          <w:color w:val="000000"/>
          <w:sz w:val="28"/>
          <w:szCs w:val="28"/>
        </w:rPr>
        <w:t>Места установки комплексов ФВФ на автомобильных дорогах регионального или межмуниципального значения согласовываются с Управлением Госавтоинспекции УМВД России по автономному округу (далее – Госавтоинспекция).</w:t>
      </w:r>
    </w:p>
    <w:p w:rsidR="004B73EC" w:rsidRDefault="00E124AB">
      <w:pPr>
        <w:pStyle w:val="afa"/>
        <w:widowControl w:val="0"/>
        <w:spacing w:before="0" w:beforeAutospacing="0" w:after="0" w:afterAutospacing="0" w:line="276" w:lineRule="auto"/>
        <w:ind w:firstLine="720"/>
        <w:jc w:val="both"/>
      </w:pPr>
      <w:r>
        <w:rPr>
          <w:color w:val="000000"/>
          <w:sz w:val="28"/>
          <w:szCs w:val="28"/>
        </w:rPr>
        <w:t xml:space="preserve">Приобретенные комплексы ФВФ размещены в очагах аварийности в Ханты-Мансийском, </w:t>
      </w:r>
      <w:proofErr w:type="spellStart"/>
      <w:r>
        <w:rPr>
          <w:color w:val="000000"/>
          <w:sz w:val="28"/>
          <w:szCs w:val="28"/>
        </w:rPr>
        <w:t>Сургутском</w:t>
      </w:r>
      <w:proofErr w:type="spellEnd"/>
      <w:r>
        <w:rPr>
          <w:color w:val="000000"/>
          <w:sz w:val="28"/>
          <w:szCs w:val="28"/>
        </w:rPr>
        <w:t xml:space="preserve"> и Нижневартовском</w:t>
      </w:r>
      <w:r w:rsidR="00D054AC">
        <w:rPr>
          <w:color w:val="000000"/>
          <w:sz w:val="28"/>
          <w:szCs w:val="28"/>
        </w:rPr>
        <w:t xml:space="preserve"> муниципальных</w:t>
      </w:r>
      <w:r>
        <w:rPr>
          <w:color w:val="000000"/>
          <w:sz w:val="28"/>
          <w:szCs w:val="28"/>
        </w:rPr>
        <w:t xml:space="preserve"> районах, а также будут использоваться в передвижном варианте на потенциально опасных участках дорог, определенных Госавтоинспекцией.</w:t>
      </w:r>
    </w:p>
    <w:p w:rsidR="004B73EC" w:rsidRDefault="00E124AB">
      <w:pPr>
        <w:pStyle w:val="afa"/>
        <w:widowControl w:val="0"/>
        <w:spacing w:before="0" w:beforeAutospacing="0" w:after="0" w:afterAutospacing="0" w:line="276" w:lineRule="auto"/>
        <w:ind w:firstLine="720"/>
        <w:jc w:val="both"/>
      </w:pPr>
      <w:r>
        <w:rPr>
          <w:color w:val="000000"/>
          <w:sz w:val="28"/>
          <w:szCs w:val="28"/>
        </w:rPr>
        <w:t xml:space="preserve">В 2025 году совместно с отделением пропаганды Госавтоинспекции продолжена работа по привлечению внимания населения к вопросам безопасности дорожного движения в рамках ежедневной передачи сводки о ДТП для включения в новостной блок радио «Югра», «Русское радио», «Серебряный дождь, «Дорожное радио». </w:t>
      </w:r>
    </w:p>
    <w:p w:rsidR="004B73EC" w:rsidRDefault="00E124AB">
      <w:pPr>
        <w:pStyle w:val="afa"/>
        <w:widowControl w:val="0"/>
        <w:spacing w:before="0" w:beforeAutospacing="0" w:after="0" w:afterAutospacing="0" w:line="276" w:lineRule="auto"/>
        <w:ind w:firstLine="720"/>
        <w:jc w:val="both"/>
      </w:pPr>
      <w:r>
        <w:rPr>
          <w:color w:val="000000"/>
          <w:sz w:val="28"/>
          <w:szCs w:val="28"/>
        </w:rPr>
        <w:t xml:space="preserve">Сотрудниками Госавтоинспекции проводятся профилактические беседы, занятия по правилам дорожного движения и безопасного поведения </w:t>
      </w:r>
      <w:r>
        <w:rPr>
          <w:color w:val="000000"/>
          <w:sz w:val="28"/>
          <w:szCs w:val="28"/>
        </w:rPr>
        <w:lastRenderedPageBreak/>
        <w:t>на дорогах с детьми и родителями. Организовано распространение методической литературы, печатной продукции, транслирование социальных роликов по обеспечению безопасности дорожного движения. Проводятся родительские собрания в дошкольных и общеобразовательных организациях с информированием</w:t>
      </w:r>
      <w:r w:rsidR="007A1361">
        <w:rPr>
          <w:color w:val="000000"/>
          <w:sz w:val="28"/>
          <w:szCs w:val="28"/>
        </w:rPr>
        <w:t xml:space="preserve"> о вопросах</w:t>
      </w:r>
      <w:r>
        <w:rPr>
          <w:color w:val="000000"/>
          <w:sz w:val="28"/>
          <w:szCs w:val="28"/>
        </w:rPr>
        <w:t xml:space="preserve"> ответственности родителей (законных представителей) за нарушение правил дорожного движения несовершеннолетними, мероприятия с привлечением юных инспекторов движения: «Внимание, дети!», «Неделя безопасности дорожного движения». Проведено окружное соревнование среди отрядов юных инспекторов движения «Безопасное колесо».</w:t>
      </w:r>
    </w:p>
    <w:p w:rsidR="004B73EC" w:rsidRDefault="00E124AB">
      <w:pPr>
        <w:pStyle w:val="docdata"/>
        <w:widowControl w:val="0"/>
        <w:spacing w:before="0" w:beforeAutospacing="0" w:after="0" w:afterAutospacing="0" w:line="276" w:lineRule="auto"/>
        <w:ind w:firstLine="720"/>
        <w:jc w:val="both"/>
      </w:pPr>
      <w:r>
        <w:rPr>
          <w:color w:val="000000"/>
          <w:sz w:val="28"/>
          <w:szCs w:val="28"/>
        </w:rPr>
        <w:t>Кроме того, в 2025 году в рамках регионального проекта «Общесистемные меры развития дорожного хозяйства» продолжена реализация мероприятия по внедрению интеллектуальной транспортной системы (ИТС), предусматривающей автоматизацию процессов управления дорожным движением в городских агломерациях, включающих города с населени</w:t>
      </w:r>
      <w:r w:rsidR="00D054AC">
        <w:rPr>
          <w:color w:val="000000"/>
          <w:sz w:val="28"/>
          <w:szCs w:val="28"/>
        </w:rPr>
        <w:t>ем свыше 300 тысяч человек, в городе</w:t>
      </w:r>
      <w:r>
        <w:rPr>
          <w:color w:val="000000"/>
          <w:sz w:val="28"/>
          <w:szCs w:val="28"/>
        </w:rPr>
        <w:t xml:space="preserve"> Сургуте в части модернизации существующих подсистем:</w:t>
      </w:r>
    </w:p>
    <w:p w:rsidR="004B73EC" w:rsidRDefault="00E124AB">
      <w:pPr>
        <w:pStyle w:val="afa"/>
        <w:widowControl w:val="0"/>
        <w:spacing w:before="0" w:beforeAutospacing="0" w:after="0" w:afterAutospacing="0" w:line="276" w:lineRule="auto"/>
        <w:ind w:firstLine="720"/>
        <w:jc w:val="both"/>
      </w:pPr>
      <w:r>
        <w:rPr>
          <w:color w:val="000000"/>
          <w:sz w:val="28"/>
          <w:szCs w:val="28"/>
        </w:rPr>
        <w:t>мониторинга параметров транспортного потока: размещение детекторов транспорта на улично-дорожной сети г. Сургута в количестве 42 шт.;</w:t>
      </w:r>
    </w:p>
    <w:p w:rsidR="004B73EC" w:rsidRDefault="00E124AB">
      <w:pPr>
        <w:pStyle w:val="afa"/>
        <w:spacing w:before="0" w:beforeAutospacing="0" w:after="0" w:afterAutospacing="0" w:line="276" w:lineRule="auto"/>
        <w:ind w:firstLine="709"/>
        <w:jc w:val="both"/>
      </w:pPr>
      <w:r>
        <w:rPr>
          <w:color w:val="000000"/>
          <w:sz w:val="28"/>
          <w:szCs w:val="28"/>
        </w:rPr>
        <w:t>светофорного управления: модернизация 6 светофорных объектов с заменой дорожного контроллера, подключение к Центру управления дорожным движением;</w:t>
      </w:r>
    </w:p>
    <w:p w:rsidR="004B73EC" w:rsidRDefault="00E124AB">
      <w:pPr>
        <w:pStyle w:val="afa"/>
        <w:spacing w:before="0" w:beforeAutospacing="0" w:after="0" w:afterAutospacing="0" w:line="276" w:lineRule="auto"/>
        <w:ind w:firstLine="709"/>
        <w:jc w:val="both"/>
      </w:pPr>
      <w:r>
        <w:rPr>
          <w:color w:val="000000"/>
          <w:sz w:val="28"/>
          <w:szCs w:val="28"/>
        </w:rPr>
        <w:t>видеонаблюдения в части дооборудования УДС города С</w:t>
      </w:r>
      <w:r w:rsidR="007A1361">
        <w:rPr>
          <w:color w:val="000000"/>
          <w:sz w:val="28"/>
          <w:szCs w:val="28"/>
        </w:rPr>
        <w:t>ургута видеокамерами</w:t>
      </w:r>
      <w:r>
        <w:rPr>
          <w:color w:val="000000"/>
          <w:sz w:val="28"/>
          <w:szCs w:val="28"/>
        </w:rPr>
        <w:t>.</w:t>
      </w:r>
      <w:bookmarkStart w:id="0" w:name="_GoBack"/>
      <w:bookmarkEnd w:id="0"/>
    </w:p>
    <w:p w:rsidR="004B73EC" w:rsidRDefault="00E124AB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Показатели, характеризующие развитие дорожного хозяйства: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4427"/>
        <w:gridCol w:w="1209"/>
        <w:gridCol w:w="1134"/>
        <w:gridCol w:w="1134"/>
        <w:gridCol w:w="1242"/>
      </w:tblGrid>
      <w:tr w:rsidR="004B73EC">
        <w:tc>
          <w:tcPr>
            <w:tcW w:w="4427" w:type="dxa"/>
            <w:vMerge w:val="restart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1209" w:type="dxa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г.</w:t>
            </w:r>
          </w:p>
        </w:tc>
        <w:tc>
          <w:tcPr>
            <w:tcW w:w="1134" w:type="dxa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г.</w:t>
            </w:r>
          </w:p>
        </w:tc>
        <w:tc>
          <w:tcPr>
            <w:tcW w:w="2376" w:type="dxa"/>
            <w:gridSpan w:val="2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г.</w:t>
            </w:r>
          </w:p>
        </w:tc>
      </w:tr>
      <w:tr w:rsidR="004B73EC">
        <w:trPr>
          <w:trHeight w:val="395"/>
        </w:trPr>
        <w:tc>
          <w:tcPr>
            <w:tcW w:w="4427" w:type="dxa"/>
            <w:vMerge/>
          </w:tcPr>
          <w:p w:rsidR="004B73EC" w:rsidRDefault="004B73EC"/>
        </w:tc>
        <w:tc>
          <w:tcPr>
            <w:tcW w:w="1209" w:type="dxa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1134" w:type="dxa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1134" w:type="dxa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242" w:type="dxa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4B73EC">
        <w:trPr>
          <w:trHeight w:val="395"/>
        </w:trPr>
        <w:tc>
          <w:tcPr>
            <w:tcW w:w="4427" w:type="dxa"/>
            <w:vMerge w:val="restart"/>
          </w:tcPr>
          <w:p w:rsidR="004B73EC" w:rsidRDefault="00E124AB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Протяженность автомобильных дорог общего пользования регионального и межмуниципального значения, км</w:t>
            </w:r>
          </w:p>
        </w:tc>
        <w:tc>
          <w:tcPr>
            <w:tcW w:w="1209" w:type="dxa"/>
            <w:vMerge w:val="restart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2866,649</w:t>
            </w:r>
          </w:p>
        </w:tc>
        <w:tc>
          <w:tcPr>
            <w:tcW w:w="1134" w:type="dxa"/>
            <w:vMerge w:val="restart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2879,619</w:t>
            </w:r>
          </w:p>
        </w:tc>
        <w:tc>
          <w:tcPr>
            <w:tcW w:w="1134" w:type="dxa"/>
            <w:vMerge w:val="restart"/>
            <w:vAlign w:val="center"/>
          </w:tcPr>
          <w:p w:rsidR="004B73EC" w:rsidRDefault="004B73E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4B73EC" w:rsidRDefault="00E124AB">
            <w:pPr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2929,784</w:t>
            </w:r>
          </w:p>
        </w:tc>
      </w:tr>
      <w:tr w:rsidR="004B73EC">
        <w:trPr>
          <w:trHeight w:val="782"/>
        </w:trPr>
        <w:tc>
          <w:tcPr>
            <w:tcW w:w="4427" w:type="dxa"/>
            <w:vMerge w:val="restart"/>
          </w:tcPr>
          <w:p w:rsidR="004B73EC" w:rsidRDefault="00E124AB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Зимние автомобильные дороги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и  ледовые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переправы, км</w:t>
            </w:r>
          </w:p>
        </w:tc>
        <w:tc>
          <w:tcPr>
            <w:tcW w:w="1209" w:type="dxa"/>
            <w:vMerge w:val="restart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2473,848 (23,650)</w:t>
            </w:r>
          </w:p>
        </w:tc>
        <w:tc>
          <w:tcPr>
            <w:tcW w:w="1134" w:type="dxa"/>
            <w:vMerge w:val="restart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2464,033 (24,162)</w:t>
            </w:r>
          </w:p>
        </w:tc>
        <w:tc>
          <w:tcPr>
            <w:tcW w:w="1134" w:type="dxa"/>
            <w:vMerge w:val="restart"/>
            <w:vAlign w:val="center"/>
          </w:tcPr>
          <w:p w:rsidR="004B73EC" w:rsidRDefault="004B73E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2460,361 (24,133)</w:t>
            </w:r>
          </w:p>
        </w:tc>
      </w:tr>
      <w:tr w:rsidR="004B73EC">
        <w:trPr>
          <w:trHeight w:val="395"/>
        </w:trPr>
        <w:tc>
          <w:tcPr>
            <w:tcW w:w="4427" w:type="dxa"/>
            <w:vMerge w:val="restart"/>
          </w:tcPr>
          <w:p w:rsidR="004B73EC" w:rsidRDefault="00E124AB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Протяженность автомобильных дорог общего пользования местного значения</w:t>
            </w:r>
          </w:p>
        </w:tc>
        <w:tc>
          <w:tcPr>
            <w:tcW w:w="1209" w:type="dxa"/>
            <w:vMerge w:val="restart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4168,80</w:t>
            </w:r>
          </w:p>
        </w:tc>
        <w:tc>
          <w:tcPr>
            <w:tcW w:w="1134" w:type="dxa"/>
            <w:vMerge w:val="restart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4190,86</w:t>
            </w:r>
          </w:p>
        </w:tc>
        <w:tc>
          <w:tcPr>
            <w:tcW w:w="1134" w:type="dxa"/>
            <w:vMerge w:val="restart"/>
            <w:vAlign w:val="center"/>
          </w:tcPr>
          <w:p w:rsidR="004B73EC" w:rsidRDefault="004B73E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4199,46 (оценка)</w:t>
            </w:r>
          </w:p>
        </w:tc>
      </w:tr>
      <w:tr w:rsidR="004B73EC">
        <w:trPr>
          <w:trHeight w:val="317"/>
        </w:trPr>
        <w:tc>
          <w:tcPr>
            <w:tcW w:w="9146" w:type="dxa"/>
            <w:gridSpan w:val="5"/>
            <w:vMerge w:val="restart"/>
          </w:tcPr>
          <w:p w:rsidR="004B73EC" w:rsidRDefault="00E124AB">
            <w:pPr>
              <w:spacing w:line="276" w:lineRule="auto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Показатель ВДЛ</w:t>
            </w:r>
          </w:p>
        </w:tc>
      </w:tr>
      <w:tr w:rsidR="004B73EC">
        <w:trPr>
          <w:trHeight w:val="317"/>
        </w:trPr>
        <w:tc>
          <w:tcPr>
            <w:tcW w:w="4427" w:type="dxa"/>
            <w:vMerge w:val="restart"/>
          </w:tcPr>
          <w:p w:rsidR="004B73EC" w:rsidRDefault="00E124AB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Доля дорожной сети в крупнейших городских агломерациях, соответствующая нормативам*</w:t>
            </w:r>
          </w:p>
        </w:tc>
        <w:tc>
          <w:tcPr>
            <w:tcW w:w="1209" w:type="dxa"/>
            <w:vMerge w:val="restart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83,64</w:t>
            </w:r>
          </w:p>
        </w:tc>
        <w:tc>
          <w:tcPr>
            <w:tcW w:w="1134" w:type="dxa"/>
            <w:vMerge w:val="restart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85,81*</w:t>
            </w:r>
          </w:p>
        </w:tc>
        <w:tc>
          <w:tcPr>
            <w:tcW w:w="1134" w:type="dxa"/>
            <w:vMerge w:val="restart"/>
            <w:vAlign w:val="center"/>
          </w:tcPr>
          <w:p w:rsidR="004B73EC" w:rsidRDefault="004B73E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42" w:type="dxa"/>
            <w:vMerge w:val="restart"/>
            <w:vAlign w:val="center"/>
          </w:tcPr>
          <w:p w:rsidR="004B73EC" w:rsidRDefault="004B73E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B73EC">
        <w:trPr>
          <w:trHeight w:val="317"/>
        </w:trPr>
        <w:tc>
          <w:tcPr>
            <w:tcW w:w="4427" w:type="dxa"/>
            <w:vMerge w:val="restart"/>
          </w:tcPr>
          <w:p w:rsidR="004B73EC" w:rsidRDefault="00E124AB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eastAsia="ar-SA"/>
              </w:rPr>
              <w:lastRenderedPageBreak/>
              <w:t>Доля автомобильных дорог крупнейших городских агломераций и автомобильных дорог регионального значения (включая дороги, отнесенные к опорной сети автомобильных дорог), %*</w:t>
            </w:r>
          </w:p>
        </w:tc>
        <w:tc>
          <w:tcPr>
            <w:tcW w:w="1209" w:type="dxa"/>
            <w:vMerge w:val="restart"/>
            <w:vAlign w:val="center"/>
          </w:tcPr>
          <w:p w:rsidR="004B73EC" w:rsidRDefault="004B73E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B73EC" w:rsidRDefault="004B73E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83,82</w:t>
            </w:r>
          </w:p>
        </w:tc>
        <w:tc>
          <w:tcPr>
            <w:tcW w:w="1242" w:type="dxa"/>
            <w:vMerge w:val="restart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87,62*</w:t>
            </w:r>
          </w:p>
        </w:tc>
      </w:tr>
      <w:tr w:rsidR="004B73EC">
        <w:trPr>
          <w:trHeight w:val="317"/>
        </w:trPr>
        <w:tc>
          <w:tcPr>
            <w:tcW w:w="9146" w:type="dxa"/>
            <w:gridSpan w:val="5"/>
            <w:vMerge w:val="restart"/>
          </w:tcPr>
          <w:p w:rsidR="004B73EC" w:rsidRDefault="00E124AB">
            <w:pPr>
              <w:spacing w:line="276" w:lineRule="auto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Показатели национального проекта «Инфраструктура для жизни» и государственной программы</w:t>
            </w:r>
          </w:p>
        </w:tc>
      </w:tr>
      <w:tr w:rsidR="004B73EC">
        <w:tc>
          <w:tcPr>
            <w:tcW w:w="4427" w:type="dxa"/>
          </w:tcPr>
          <w:p w:rsidR="004B73EC" w:rsidRDefault="00E124AB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Доля автомобильных дорог регионального и межмуниципального значения, соответствующих нормативным требованиям, %**</w:t>
            </w:r>
          </w:p>
        </w:tc>
        <w:tc>
          <w:tcPr>
            <w:tcW w:w="1209" w:type="dxa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88,55</w:t>
            </w:r>
          </w:p>
        </w:tc>
        <w:tc>
          <w:tcPr>
            <w:tcW w:w="1134" w:type="dxa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89,55**</w:t>
            </w:r>
          </w:p>
        </w:tc>
        <w:tc>
          <w:tcPr>
            <w:tcW w:w="1134" w:type="dxa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83,82**</w:t>
            </w:r>
          </w:p>
        </w:tc>
        <w:tc>
          <w:tcPr>
            <w:tcW w:w="1242" w:type="dxa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87,62</w:t>
            </w:r>
          </w:p>
        </w:tc>
      </w:tr>
      <w:tr w:rsidR="004B73EC">
        <w:tc>
          <w:tcPr>
            <w:tcW w:w="4427" w:type="dxa"/>
          </w:tcPr>
          <w:p w:rsidR="004B73EC" w:rsidRDefault="00E124AB">
            <w:pPr>
              <w:pStyle w:val="ConsPlusNormal"/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Доля дорожной сети городских агломераций, находящаяся в нормативном состоянии, %</w:t>
            </w:r>
          </w:p>
        </w:tc>
        <w:tc>
          <w:tcPr>
            <w:tcW w:w="1209" w:type="dxa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83,64</w:t>
            </w:r>
          </w:p>
        </w:tc>
        <w:tc>
          <w:tcPr>
            <w:tcW w:w="1134" w:type="dxa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85,80</w:t>
            </w:r>
          </w:p>
        </w:tc>
        <w:tc>
          <w:tcPr>
            <w:tcW w:w="1134" w:type="dxa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85,62</w:t>
            </w:r>
          </w:p>
        </w:tc>
        <w:tc>
          <w:tcPr>
            <w:tcW w:w="1242" w:type="dxa"/>
            <w:vAlign w:val="center"/>
          </w:tcPr>
          <w:p w:rsidR="004B73EC" w:rsidRDefault="00E124A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86,54</w:t>
            </w:r>
          </w:p>
        </w:tc>
      </w:tr>
    </w:tbl>
    <w:p w:rsidR="004B73EC" w:rsidRDefault="00E124AB">
      <w:pPr>
        <w:spacing w:line="276" w:lineRule="auto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Примечание: * Изменение показателя ВДЛ</w:t>
      </w:r>
    </w:p>
    <w:p w:rsidR="004B73EC" w:rsidRDefault="00E124AB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** Изменение методики расчета показателя</w:t>
      </w:r>
    </w:p>
    <w:p w:rsidR="004B73EC" w:rsidRDefault="00E124AB">
      <w:pPr>
        <w:widowControl/>
        <w:spacing w:after="200"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 </w:t>
      </w:r>
    </w:p>
    <w:sectPr w:rsidR="004B73EC">
      <w:headerReference w:type="default" r:id="rId7"/>
      <w:pgSz w:w="11906" w:h="16838"/>
      <w:pgMar w:top="1417" w:right="1276" w:bottom="1134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B4B" w:rsidRDefault="00925B4B">
      <w:r>
        <w:separator/>
      </w:r>
    </w:p>
  </w:endnote>
  <w:endnote w:type="continuationSeparator" w:id="0">
    <w:p w:rsidR="00925B4B" w:rsidRDefault="0092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B4B" w:rsidRDefault="00925B4B">
      <w:r>
        <w:separator/>
      </w:r>
    </w:p>
  </w:footnote>
  <w:footnote w:type="continuationSeparator" w:id="0">
    <w:p w:rsidR="00925B4B" w:rsidRDefault="00925B4B">
      <w:r>
        <w:continuationSeparator/>
      </w:r>
    </w:p>
  </w:footnote>
  <w:footnote w:id="1">
    <w:p w:rsidR="004B73EC" w:rsidRDefault="00E124AB">
      <w:pPr>
        <w:pStyle w:val="af1"/>
        <w:jc w:val="both"/>
        <w:rPr>
          <w:szCs w:val="18"/>
        </w:rPr>
      </w:pPr>
      <w:r>
        <w:rPr>
          <w:rStyle w:val="af3"/>
        </w:rPr>
        <w:footnoteRef/>
      </w:r>
      <w:r>
        <w:t xml:space="preserve"> </w:t>
      </w:r>
      <w:r>
        <w:rPr>
          <w:color w:val="000000"/>
          <w:szCs w:val="18"/>
        </w:rPr>
        <w:t>Указ Президента Российской Федерации от 21.07.2020 № 474 «О национальных целях развития Российской Федерации на период до 2030 года»</w:t>
      </w:r>
    </w:p>
  </w:footnote>
  <w:footnote w:id="2">
    <w:p w:rsidR="004B73EC" w:rsidRDefault="00E124AB">
      <w:pPr>
        <w:pStyle w:val="af1"/>
        <w:jc w:val="both"/>
        <w:rPr>
          <w:szCs w:val="18"/>
        </w:rPr>
      </w:pPr>
      <w:r>
        <w:rPr>
          <w:rStyle w:val="af3"/>
        </w:rPr>
        <w:footnoteRef/>
      </w:r>
      <w:r>
        <w:t xml:space="preserve"> </w:t>
      </w:r>
      <w:r>
        <w:rPr>
          <w:color w:val="000000"/>
          <w:szCs w:val="18"/>
        </w:rPr>
        <w:t>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3EC" w:rsidRDefault="00E124AB">
    <w:pPr>
      <w:pStyle w:val="aa"/>
      <w:jc w:val="center"/>
    </w:pPr>
    <w:r>
      <w:fldChar w:fldCharType="begin"/>
    </w:r>
    <w:r>
      <w:instrText>PAGE \* MERGEFORMAT</w:instrText>
    </w:r>
    <w:r>
      <w:fldChar w:fldCharType="separate"/>
    </w:r>
    <w:r w:rsidR="007A1361">
      <w:rPr>
        <w:noProof/>
      </w:rPr>
      <w:t>5</w:t>
    </w:r>
    <w:r>
      <w:fldChar w:fldCharType="end"/>
    </w:r>
  </w:p>
  <w:p w:rsidR="004B73EC" w:rsidRDefault="004B73E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F20A1"/>
    <w:multiLevelType w:val="hybridMultilevel"/>
    <w:tmpl w:val="174281C0"/>
    <w:lvl w:ilvl="0" w:tplc="49F6BF20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D0BC757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251854E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78E8BAA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35B4903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15E2D2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08621C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126404A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7D96698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277D26CC"/>
    <w:multiLevelType w:val="hybridMultilevel"/>
    <w:tmpl w:val="4776044E"/>
    <w:lvl w:ilvl="0" w:tplc="5C9C2E76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EBC68D4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FD1A63E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AEA437C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18AA8D8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499C433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D56B1B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72F24F1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9E3AA21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3B9B72E8"/>
    <w:multiLevelType w:val="hybridMultilevel"/>
    <w:tmpl w:val="E22C50BA"/>
    <w:lvl w:ilvl="0" w:tplc="6D06040C">
      <w:start w:val="1"/>
      <w:numFmt w:val="decimal"/>
      <w:lvlText w:val="%1."/>
      <w:lvlJc w:val="left"/>
      <w:rPr>
        <w:strike w:val="0"/>
        <w:sz w:val="28"/>
      </w:rPr>
    </w:lvl>
    <w:lvl w:ilvl="1" w:tplc="B5CE1576">
      <w:start w:val="1"/>
      <w:numFmt w:val="lowerLetter"/>
      <w:lvlText w:val="%2."/>
      <w:lvlJc w:val="left"/>
      <w:pPr>
        <w:ind w:left="1440" w:hanging="360"/>
      </w:pPr>
    </w:lvl>
    <w:lvl w:ilvl="2" w:tplc="D792B290">
      <w:start w:val="1"/>
      <w:numFmt w:val="lowerRoman"/>
      <w:lvlText w:val="%3."/>
      <w:lvlJc w:val="right"/>
      <w:pPr>
        <w:ind w:left="2160" w:hanging="180"/>
      </w:pPr>
    </w:lvl>
    <w:lvl w:ilvl="3" w:tplc="DA463E94">
      <w:start w:val="1"/>
      <w:numFmt w:val="decimal"/>
      <w:lvlText w:val="%4."/>
      <w:lvlJc w:val="left"/>
      <w:pPr>
        <w:ind w:left="2880" w:hanging="360"/>
      </w:pPr>
    </w:lvl>
    <w:lvl w:ilvl="4" w:tplc="0366979A">
      <w:start w:val="1"/>
      <w:numFmt w:val="lowerLetter"/>
      <w:lvlText w:val="%5."/>
      <w:lvlJc w:val="left"/>
      <w:pPr>
        <w:ind w:left="3600" w:hanging="360"/>
      </w:pPr>
    </w:lvl>
    <w:lvl w:ilvl="5" w:tplc="73E0E71C">
      <w:start w:val="1"/>
      <w:numFmt w:val="lowerRoman"/>
      <w:lvlText w:val="%6."/>
      <w:lvlJc w:val="right"/>
      <w:pPr>
        <w:ind w:left="4320" w:hanging="180"/>
      </w:pPr>
    </w:lvl>
    <w:lvl w:ilvl="6" w:tplc="ACBAEC78">
      <w:start w:val="1"/>
      <w:numFmt w:val="decimal"/>
      <w:lvlText w:val="%7."/>
      <w:lvlJc w:val="left"/>
      <w:pPr>
        <w:ind w:left="5040" w:hanging="360"/>
      </w:pPr>
    </w:lvl>
    <w:lvl w:ilvl="7" w:tplc="64906516">
      <w:start w:val="1"/>
      <w:numFmt w:val="lowerLetter"/>
      <w:lvlText w:val="%8."/>
      <w:lvlJc w:val="left"/>
      <w:pPr>
        <w:ind w:left="5760" w:hanging="360"/>
      </w:pPr>
    </w:lvl>
    <w:lvl w:ilvl="8" w:tplc="89C4BEC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06DD0"/>
    <w:multiLevelType w:val="hybridMultilevel"/>
    <w:tmpl w:val="39E455E4"/>
    <w:lvl w:ilvl="0" w:tplc="A754CCA0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A31620F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FD205A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69C0591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E50B48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0E85C3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26722A2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019C3FD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7F88D3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570212E"/>
    <w:multiLevelType w:val="hybridMultilevel"/>
    <w:tmpl w:val="338E5D92"/>
    <w:lvl w:ilvl="0" w:tplc="30520F60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503A0F72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DCF2B38E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F7200C26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662E7572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3B8E35B6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EEFA953E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FBE8AD2C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1DB618C6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CA51A8E"/>
    <w:multiLevelType w:val="hybridMultilevel"/>
    <w:tmpl w:val="CCEC2A40"/>
    <w:lvl w:ilvl="0" w:tplc="40A20A54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985467B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9740E22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FD02C6B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7EC2404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7534AA24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134856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9FB8DCC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B7E47F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65BE6551"/>
    <w:multiLevelType w:val="hybridMultilevel"/>
    <w:tmpl w:val="64545D5E"/>
    <w:lvl w:ilvl="0" w:tplc="661E15C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073CC61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092E6A5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482CD7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9A7895E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D04ECAE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E4C0196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1758FBE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9F6EB67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665509B3"/>
    <w:multiLevelType w:val="hybridMultilevel"/>
    <w:tmpl w:val="927C25D0"/>
    <w:lvl w:ilvl="0" w:tplc="1F7096E0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 w:cs="Times New Roman" w:hint="default"/>
        <w:sz w:val="28"/>
      </w:rPr>
    </w:lvl>
    <w:lvl w:ilvl="1" w:tplc="72F4629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BB9493C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73E0B16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3058262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CDD633B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B40EFC1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7FC4247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220018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708B4BC5"/>
    <w:multiLevelType w:val="hybridMultilevel"/>
    <w:tmpl w:val="32AECB68"/>
    <w:lvl w:ilvl="0" w:tplc="05804198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 w:cs="Times New Roman" w:hint="default"/>
        <w:sz w:val="28"/>
      </w:rPr>
    </w:lvl>
    <w:lvl w:ilvl="1" w:tplc="C81454B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1C1A689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4FE042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0000517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112D17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E4DA1D5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E3E2E61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8586DD2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733C0320"/>
    <w:multiLevelType w:val="hybridMultilevel"/>
    <w:tmpl w:val="224E8EEC"/>
    <w:lvl w:ilvl="0" w:tplc="8C620F54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 w:cs="Times New Roman" w:hint="default"/>
        <w:sz w:val="28"/>
      </w:rPr>
    </w:lvl>
    <w:lvl w:ilvl="1" w:tplc="7BF836C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22BA882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BC3CD61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B52DF3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F7D8CFA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886F17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CF766F1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B4E64B8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79E35147"/>
    <w:multiLevelType w:val="hybridMultilevel"/>
    <w:tmpl w:val="D2A242E4"/>
    <w:lvl w:ilvl="0" w:tplc="74BE1D58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15CA4F3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6F1AB11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4B02F43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F52C654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D8EC563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5CD6183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E9FA9EA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144D1B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7BC50B3C"/>
    <w:multiLevelType w:val="hybridMultilevel"/>
    <w:tmpl w:val="7E1C8AFE"/>
    <w:lvl w:ilvl="0" w:tplc="9F003DE2">
      <w:start w:val="1"/>
      <w:numFmt w:val="decimal"/>
      <w:lvlText w:val="%1."/>
      <w:lvlJc w:val="left"/>
      <w:pPr>
        <w:ind w:left="1418" w:hanging="360"/>
      </w:pPr>
    </w:lvl>
    <w:lvl w:ilvl="1" w:tplc="6F8CDF70">
      <w:start w:val="1"/>
      <w:numFmt w:val="lowerLetter"/>
      <w:lvlText w:val="%2."/>
      <w:lvlJc w:val="left"/>
      <w:pPr>
        <w:ind w:left="2138" w:hanging="360"/>
      </w:pPr>
    </w:lvl>
    <w:lvl w:ilvl="2" w:tplc="875C5B60">
      <w:start w:val="1"/>
      <w:numFmt w:val="lowerRoman"/>
      <w:lvlText w:val="%3."/>
      <w:lvlJc w:val="right"/>
      <w:pPr>
        <w:ind w:left="2858" w:hanging="180"/>
      </w:pPr>
    </w:lvl>
    <w:lvl w:ilvl="3" w:tplc="DDDAB652">
      <w:start w:val="1"/>
      <w:numFmt w:val="decimal"/>
      <w:lvlText w:val="%4."/>
      <w:lvlJc w:val="left"/>
      <w:pPr>
        <w:ind w:left="3578" w:hanging="360"/>
      </w:pPr>
    </w:lvl>
    <w:lvl w:ilvl="4" w:tplc="0750F5F8">
      <w:start w:val="1"/>
      <w:numFmt w:val="lowerLetter"/>
      <w:lvlText w:val="%5."/>
      <w:lvlJc w:val="left"/>
      <w:pPr>
        <w:ind w:left="4298" w:hanging="360"/>
      </w:pPr>
    </w:lvl>
    <w:lvl w:ilvl="5" w:tplc="E97CDA94">
      <w:start w:val="1"/>
      <w:numFmt w:val="lowerRoman"/>
      <w:lvlText w:val="%6."/>
      <w:lvlJc w:val="right"/>
      <w:pPr>
        <w:ind w:left="5018" w:hanging="180"/>
      </w:pPr>
    </w:lvl>
    <w:lvl w:ilvl="6" w:tplc="E118D3AC">
      <w:start w:val="1"/>
      <w:numFmt w:val="decimal"/>
      <w:lvlText w:val="%7."/>
      <w:lvlJc w:val="left"/>
      <w:pPr>
        <w:ind w:left="5738" w:hanging="360"/>
      </w:pPr>
    </w:lvl>
    <w:lvl w:ilvl="7" w:tplc="FADEE018">
      <w:start w:val="1"/>
      <w:numFmt w:val="lowerLetter"/>
      <w:lvlText w:val="%8."/>
      <w:lvlJc w:val="left"/>
      <w:pPr>
        <w:ind w:left="6458" w:hanging="360"/>
      </w:pPr>
    </w:lvl>
    <w:lvl w:ilvl="8" w:tplc="8D124F5C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11"/>
  </w:num>
  <w:num w:numId="6">
    <w:abstractNumId w:val="9"/>
  </w:num>
  <w:num w:numId="7">
    <w:abstractNumId w:val="0"/>
  </w:num>
  <w:num w:numId="8">
    <w:abstractNumId w:val="10"/>
  </w:num>
  <w:num w:numId="9">
    <w:abstractNumId w:val="3"/>
  </w:num>
  <w:num w:numId="10">
    <w:abstractNumId w:val="1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3EC"/>
    <w:rsid w:val="002A2530"/>
    <w:rsid w:val="00347DF7"/>
    <w:rsid w:val="003F7260"/>
    <w:rsid w:val="004B73EC"/>
    <w:rsid w:val="004E13AA"/>
    <w:rsid w:val="005F2684"/>
    <w:rsid w:val="006264AB"/>
    <w:rsid w:val="006C06C4"/>
    <w:rsid w:val="006E16C3"/>
    <w:rsid w:val="007A1361"/>
    <w:rsid w:val="007D1591"/>
    <w:rsid w:val="0082277F"/>
    <w:rsid w:val="008442B9"/>
    <w:rsid w:val="00925B4B"/>
    <w:rsid w:val="009835A0"/>
    <w:rsid w:val="009E65E9"/>
    <w:rsid w:val="00A00CA7"/>
    <w:rsid w:val="00AD7E04"/>
    <w:rsid w:val="00B80600"/>
    <w:rsid w:val="00C176E5"/>
    <w:rsid w:val="00D054AC"/>
    <w:rsid w:val="00DB5043"/>
    <w:rsid w:val="00DB6CE0"/>
    <w:rsid w:val="00DC6AC8"/>
    <w:rsid w:val="00E124AB"/>
    <w:rsid w:val="00E81273"/>
    <w:rsid w:val="00E8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679578-8824-4633-A8EB-DFF405F91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uiPriority w:val="34"/>
    <w:qFormat/>
    <w:pPr>
      <w:ind w:left="401" w:right="129" w:firstLine="698"/>
      <w:jc w:val="both"/>
    </w:p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Page">
    <w:name w:val="ConsPlusTitlePag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ocdata">
    <w:name w:val="docdata"/>
    <w:basedOn w:val="a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styleId="afa">
    <w:name w:val="Normal (Web)"/>
    <w:basedOn w:val="a"/>
    <w:uiPriority w:val="99"/>
    <w:semiHidden/>
    <w:unhideWhenUsed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3">
    <w:name w:val="Основной текст1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icfpwr">
    <w:name w:val="sc-icfpwr"/>
    <w:rsid w:val="00AD7E04"/>
  </w:style>
  <w:style w:type="table" w:customStyle="1" w:styleId="14">
    <w:name w:val="Сетка таблицы1"/>
    <w:uiPriority w:val="59"/>
    <w:rsid w:val="00AD7E0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Змановская Мария Николаевна</dc:creator>
  <cp:lastModifiedBy>Скосырев Василий Владиславович</cp:lastModifiedBy>
  <cp:revision>4</cp:revision>
  <dcterms:created xsi:type="dcterms:W3CDTF">2026-04-14T15:18:00Z</dcterms:created>
  <dcterms:modified xsi:type="dcterms:W3CDTF">2026-04-14T15:50:00Z</dcterms:modified>
</cp:coreProperties>
</file>